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4 vom 5. August 2025</w:t>
      </w:r>
    </w:p>
    <w:p>
      <w:r>
        <w:t>VS Kantonsgericht, 2025-08-05, FR</w:t>
      </w:r>
    </w:p>
    <w:p>
      <w:r>
        <w:rPr>
          <w:b/>
        </w:rPr>
        <w:t xml:space="preserve">Quelle: </w:t>
      </w:r>
      <w:r>
        <w:t>https://mcp.opencaselaw.ch/entscheid/vs_gerichte_S1 24 4</w:t>
      </w:r>
    </w:p>
    <w:p>
      <w:r>
        <w:t>FR: VS_GERICHTE S1 24 4 du 5 août 2025</w:t>
      </w:r>
    </w:p>
    <w:p>
      <w:r>
        <w:t>IT: VS_GERICHTE S1 24 4 del 5 agosto 2025</w:t>
      </w:r>
    </w:p>
    <w:p>
      <w:pPr>
        <w:pStyle w:val="Heading2"/>
      </w:pPr>
      <w:r>
        <w:t>Regeste</w:t>
      </w:r>
    </w:p>
    <w:p>
      <w:r>
        <w:t>S1 24 4 ARRÊT DU 5 AOÛT 2025 Tribunal cantonal du Valais Cour des assurances sociales Composition : Candido Prada, président ; Dr Thierry Schnyder et Christophe Joris, juges ; Mireille Allegro, greffière en la cause X _________, recourante contre CAISSE DE CHÔMAGE OCS, intimée (art. 24 LACI ; gain intermédiaire et prestations en nature)</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29 décembre 2023, le présent recours à l’encontre de la décision sur opposition du 28 novembre précédent a été interjeté dans le délai légal de 30 jours (art. 60 LPGA) et devant l'instance compétente (art. 56 et 57 LPGA ; 100 al. 3 LACI, 119 et 128 al. 1 OACI ; art. 81a al. 1 LPJA). Il répond par ailleurs aux autres conditions formelles de recevabilité (art. 61 let. b LPGA), de sorte que la Cour doit entrer en matière.</w:t>
      </w:r>
    </w:p>
    <w:p>
      <w:r>
        <w:rPr>
          <w:b/>
        </w:rPr>
        <w:t>E. 2</w:t>
      </w:r>
    </w:p>
    <w:p>
      <w:r>
        <w:t>Est litigieux le montant du gain intermédiaire retenu pour le mois d’octobre 2022, respectivement la prise en compte dans ce gain de la prestation en nature reçue de l’employeur.</w:t>
      </w:r>
    </w:p>
    <w:p>
      <w:r>
        <w:rPr>
          <w:b/>
        </w:rPr>
        <w:t>E. 2.1</w:t>
      </w:r>
    </w:p>
    <w:p>
      <w:r>
        <w:t>Aux termes de l'article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w:t>
      </w:r>
    </w:p>
    <w:p>
      <w:r>
        <w:t>- 6 -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Aussi, en règle générale, le Tribunal fédéral des assurances détermine le gain intermédiaire selon les mêmes règles qu'il applique au calcul du gain assuré. Ainsi en va-t-il, par exemple, du principe d'après lequel un revenu est réputé avoir été réalisé au moment où l'assuré a fourni la prestation de travail rémunératoire (cf. ATF 122 V 371 consid. 5b), ou du régime applicable aux indemnités de vacances versées avec le salaire, sous forme de pourcentage (cf. DTA 2000 no 7 p. 33 consid. 2). La jurisprudence n'exclut toutefois pas d'examiner, dans certains cas, le droit d'un assuré à des indemnités compensatoires selon des critères propres, en raison des particularités inhérentes au système régi par l'article 24 LACI (cf. SVR 2000 AlV no 22 p. 63 consid. 3) ; la loi le prévoit parfois expressément, notamment à l'article 24 alinéa 3 LACI, qui prescrit de prendre en considération un gain intermédiaire conforme aux usages professionnels et locaux. À teneur de l’article 23 alinéa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Conformément à l'article 5 alinéa 2 LAVS,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Le salaire pris en compte comme gain assuré au sens de l’assurance-chômage se rapproche de la notion précitée de salaire déterminant au sens de la LAVS, mais ne se recouvre pas exactement avec celui-ci, ce qui ressort d'ailleurs de la formulation</w:t>
      </w:r>
    </w:p>
    <w:p>
      <w:r>
        <w:t>- 7 - « normalement » contenue dans le texte légal de l'article 23 alinéa 1 LACI (arrêt du Tribunal fédéral C 155/06 du 3 août 2007 consid. 5.1 ; cf. également : BORIS RUBIN, Commentaire de la loi sur l’assurance-chômage, Genève/Zurich/Bâle 2014, no 8 ad art. 23 LACI ; voir aussi : THOMAS NUSSBAUMER,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arrêt du Tribunal fédéral C 139/05 du 26 juin 2006 consid. 4.1), de l'indemnité de vacances à certaines conditions (DTA 2000 n° 7 p. 33), des gains accessoires (ATF 126 V 207 ; 125 V 478 consid. 5a), d’un bonus versé une seule fois dans des circonstances particulières (DTA 2006 no 27 p. 305), ou encore des indemnités pour inconvénients de service et indemnités de frais (BORIS RUBIN, op. cit., no 11 ad art. 23 LACI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arrêt du Tribunal fédéral C 139/05 du 26 juin 2006 consid. 4.1 ; arrêts du Tribunal fédéral des assurances C 51/02 du 20 juin 2002 consid. 2a ; C 45/01 et C 69/01 du 14 novembre 2001 consid. 5a). Entrent ainsi notamment dans les composantes du gain assuré au sens de l'article 23 alinéa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BORIS RUBIN, op. cit., no 10 ad art. 23 LACI). En revanche, le gain assuré ne comprend pas, entre autres, les indemnités pour frais et les primes versées dans des circonstances particulières et ne se présentant que de façon inhabituelle (cf. BORIS RUBIN, op. cit., no 11 ad art. 23 LACI). En effet, les prestations en nature occasionnelles ne font pas partie du salaire déterminant si elles n’excèdent pas des proportions habituelles et restent dans un rapport raisonnable avec la rémunération du travail proprement dite (cf. Directives sur le salaire déterminant dans</w:t>
      </w:r>
    </w:p>
    <w:p>
      <w:r>
        <w:t>- 8 - l’AVS, AI et APG [DSD], valable dès le 1er janvier 2019, état au 1er janvier 2023, ch. 2069).</w:t>
      </w:r>
    </w:p>
    <w:p>
      <w:r>
        <w:rPr>
          <w:b/>
        </w:rPr>
        <w:t>E. 2.2</w:t>
      </w:r>
    </w:p>
    <w:p>
      <w:r>
        <w:t>En l’occurrence, l’intimée a considéré que l’appareil gagné par l’assurée constituait une prime au mérite en lien avec l’activité déployée et, en conséquence, devait être comptabilisée à titre de gain intermédiaire. La Cour n’est cependant pas du même avis pour les raisons exposées ci-dessous. Certes, plus la conseillère arrivait à vendre de produits durant la période donnée, plus le prix de l’appareil baissait pour elle. Cependant, la Cour observe que la participation au challenge ainsi que l’achat de l’appareil en cause n’était pas obligatoire. Par la convention spéciale, l’employeur a seulement permis à ses représentants de pouvoir acquérir le nouvel appareil H _________ à des conditions particulières avantageuses, sans obligation d’achat au terme de la période définie du challenge. Il s’agissait uniquement d’une possibilité offerte aux représentants de devenir propriétaire de leur outil de travail. En outre, même si la valeur marchande de l’appareil était soumise aux cotisations sociales, il s’agissait clairement d’un bonus (ou d’une prime) exceptionnel octroyé dans des circonstances particulières. Il ne s’agissait pas d’une prestation en nature de l’employeur, ayant un caractère régulier et lié à l’accomplissement de l’activité professionnelle, comme par exemple la prise en charge des repas ou des coûts de l’utilisation d’un véhicule. Il s’agissait d’une prestation en nature unique, qui n’avait pas pour objectif de récompenser le travail de la conseillère sur une longue durée. Ainsi, contrairement à ce que soutient l’intimée, la prestation en nature dont a bénéficié la recourante durant le mois d’octobre 2022 ne constitue pas un gain intermédiaire au sens de la LACI.</w:t>
      </w:r>
    </w:p>
    <w:p>
      <w:r>
        <w:rPr>
          <w:b/>
        </w:rPr>
        <w:t>E. 3</w:t>
      </w:r>
    </w:p>
    <w:p>
      <w:r>
        <w:t>Il s’ensuit que l’intimée n’aurait pas dû prendre en compte le montant de 2145 fr. dans le calcul du gain intermédiaire du mois d’octobre 2022. Le recours est admis et la décision sur opposition du 28 novembre 2023 annulée. Le dossier est renvoyé à l’intimée pour qu’elle recalcule le droit aux indemnités journalières du mois d’octobre 2022.</w:t>
      </w:r>
    </w:p>
    <w:p>
      <w:r>
        <w:rPr>
          <w:b/>
        </w:rPr>
        <w:t>E. 4.1</w:t>
      </w:r>
    </w:p>
    <w:p>
      <w:r>
        <w:t>Il n’est pas perçu de frais (art. 61 let. fbis LPGA), la loi spéciale, en l’occurrence la LACI, ne prévoyant pas le prélèvement de frais judiciaires.</w:t>
      </w:r>
    </w:p>
    <w:p>
      <w:r>
        <w:t>- 9 -</w:t>
      </w:r>
    </w:p>
    <w:p>
      <w:r>
        <w:rPr>
          <w:b/>
        </w:rPr>
        <w:t>E. 4.2</w:t>
      </w:r>
    </w:p>
    <w:p>
      <w:r>
        <w:t>Non représentée par un mandataire professionnel, la recourante n’a pas droit à des dépens, dans la mesure où son activité n’a pas dépassé ce que tout un chacun consacre à la gestion courante de ses affaires personnelles (ATF 127 V 205 ; 110 V 132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